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6B6" w:rsidRPr="00A0676F" w:rsidRDefault="00F57C36" w:rsidP="00F95261">
      <w:pPr>
        <w:pStyle w:val="ConsPlusNormal"/>
        <w:jc w:val="right"/>
        <w:rPr>
          <w:sz w:val="24"/>
        </w:rPr>
      </w:pPr>
      <w:r w:rsidRPr="0046283C">
        <w:rPr>
          <w:sz w:val="24"/>
        </w:rPr>
        <w:t xml:space="preserve">Приложение </w:t>
      </w:r>
      <w:r w:rsidR="004B149C" w:rsidRPr="00A0676F">
        <w:rPr>
          <w:sz w:val="24"/>
        </w:rPr>
        <w:t>8</w:t>
      </w:r>
    </w:p>
    <w:p w:rsidR="009756B6" w:rsidRPr="0046283C" w:rsidRDefault="009756B6" w:rsidP="00F95261">
      <w:pPr>
        <w:pStyle w:val="ConsPlusNormal"/>
        <w:jc w:val="right"/>
        <w:rPr>
          <w:sz w:val="24"/>
        </w:rPr>
      </w:pPr>
      <w:r w:rsidRPr="0046283C">
        <w:rPr>
          <w:sz w:val="24"/>
        </w:rPr>
        <w:t>к Тарифному соглашению по ОМС</w:t>
      </w:r>
    </w:p>
    <w:p w:rsidR="009756B6" w:rsidRPr="0046283C" w:rsidRDefault="009756B6" w:rsidP="00F95261">
      <w:pPr>
        <w:pStyle w:val="ConsPlusNormal"/>
        <w:jc w:val="right"/>
        <w:rPr>
          <w:sz w:val="24"/>
        </w:rPr>
      </w:pPr>
      <w:r w:rsidRPr="00915E14">
        <w:rPr>
          <w:sz w:val="24"/>
        </w:rPr>
        <w:t>от «</w:t>
      </w:r>
      <w:r w:rsidR="00915E14" w:rsidRPr="00282B86">
        <w:rPr>
          <w:sz w:val="24"/>
        </w:rPr>
        <w:t>28</w:t>
      </w:r>
      <w:r w:rsidR="008E53B5" w:rsidRPr="00915E14">
        <w:rPr>
          <w:sz w:val="24"/>
        </w:rPr>
        <w:t>»</w:t>
      </w:r>
      <w:r w:rsidR="008E53B5" w:rsidRPr="0046283C">
        <w:rPr>
          <w:sz w:val="24"/>
        </w:rPr>
        <w:t xml:space="preserve"> декабря 20</w:t>
      </w:r>
      <w:r w:rsidR="005C29E7">
        <w:rPr>
          <w:sz w:val="24"/>
        </w:rPr>
        <w:t>22</w:t>
      </w:r>
      <w:r w:rsidRPr="0046283C">
        <w:rPr>
          <w:sz w:val="24"/>
        </w:rPr>
        <w:t xml:space="preserve"> года</w:t>
      </w:r>
    </w:p>
    <w:p w:rsidR="00903095" w:rsidRPr="00E84F80" w:rsidRDefault="00903095" w:rsidP="00F95261">
      <w:pPr>
        <w:pStyle w:val="ConsPlusNormal"/>
        <w:jc w:val="right"/>
      </w:pPr>
    </w:p>
    <w:p w:rsidR="00F06252" w:rsidRPr="00E84F80" w:rsidRDefault="00F06252" w:rsidP="006F6197">
      <w:pPr>
        <w:pStyle w:val="ConsPlusTitle"/>
        <w:jc w:val="center"/>
        <w:rPr>
          <w:b w:val="0"/>
          <w:sz w:val="24"/>
        </w:rPr>
      </w:pPr>
    </w:p>
    <w:p w:rsidR="00A0676F" w:rsidRDefault="006F6197" w:rsidP="006F6197">
      <w:pPr>
        <w:pStyle w:val="ConsPlusTitle"/>
        <w:jc w:val="center"/>
        <w:rPr>
          <w:b w:val="0"/>
          <w:sz w:val="24"/>
        </w:rPr>
      </w:pPr>
      <w:r w:rsidRPr="00E84F80">
        <w:rPr>
          <w:b w:val="0"/>
          <w:sz w:val="24"/>
        </w:rPr>
        <w:t>П</w:t>
      </w:r>
      <w:r w:rsidR="00A0676F">
        <w:rPr>
          <w:b w:val="0"/>
          <w:sz w:val="24"/>
        </w:rPr>
        <w:t>еречень</w:t>
      </w:r>
      <w:bookmarkStart w:id="0" w:name="_GoBack"/>
      <w:bookmarkEnd w:id="0"/>
    </w:p>
    <w:p w:rsidR="006F6197" w:rsidRDefault="00A0676F" w:rsidP="006F6197">
      <w:pPr>
        <w:pStyle w:val="ConsPlusTitle"/>
        <w:jc w:val="center"/>
        <w:rPr>
          <w:b w:val="0"/>
          <w:sz w:val="24"/>
        </w:rPr>
      </w:pPr>
      <w:r>
        <w:rPr>
          <w:b w:val="0"/>
          <w:sz w:val="24"/>
        </w:rPr>
        <w:t>показателей результативности деятельности медицинской организации</w:t>
      </w:r>
      <w:r w:rsidR="006F6197" w:rsidRPr="00E84F80">
        <w:rPr>
          <w:b w:val="0"/>
          <w:sz w:val="24"/>
        </w:rPr>
        <w:t>,</w:t>
      </w:r>
    </w:p>
    <w:p w:rsidR="00A0676F" w:rsidRDefault="00A0676F" w:rsidP="006F6197">
      <w:pPr>
        <w:pStyle w:val="ConsPlusTitle"/>
        <w:jc w:val="center"/>
        <w:rPr>
          <w:b w:val="0"/>
          <w:sz w:val="24"/>
        </w:rPr>
      </w:pPr>
      <w:r>
        <w:rPr>
          <w:b w:val="0"/>
          <w:sz w:val="24"/>
        </w:rPr>
        <w:t xml:space="preserve">внедряющей новую модель оказания гражданам первичной медико-санитарной помощи </w:t>
      </w:r>
    </w:p>
    <w:p w:rsidR="006F6197" w:rsidRPr="00E84F80" w:rsidRDefault="00A0676F" w:rsidP="006F6197">
      <w:pPr>
        <w:pStyle w:val="ConsPlusTitle"/>
        <w:jc w:val="center"/>
        <w:rPr>
          <w:b w:val="0"/>
          <w:sz w:val="24"/>
        </w:rPr>
      </w:pPr>
      <w:r>
        <w:rPr>
          <w:b w:val="0"/>
          <w:sz w:val="24"/>
        </w:rPr>
        <w:t>на принципах «Бережливого производства» и критерии их оценки</w:t>
      </w:r>
    </w:p>
    <w:p w:rsidR="006C59EB" w:rsidRPr="00E467C2" w:rsidRDefault="00C044D3" w:rsidP="006F6197">
      <w:pPr>
        <w:pStyle w:val="ConsPlusTitle"/>
        <w:jc w:val="center"/>
        <w:rPr>
          <w:b w:val="0"/>
          <w:sz w:val="24"/>
        </w:rPr>
      </w:pPr>
      <w:r w:rsidRPr="00E84F80">
        <w:rPr>
          <w:b w:val="0"/>
          <w:sz w:val="24"/>
        </w:rPr>
        <w:t>с 01.01.202</w:t>
      </w:r>
      <w:r w:rsidR="005C29E7">
        <w:rPr>
          <w:b w:val="0"/>
          <w:sz w:val="24"/>
          <w:lang w:val="en-US"/>
        </w:rPr>
        <w:t>3</w:t>
      </w:r>
    </w:p>
    <w:p w:rsidR="006F6197" w:rsidRPr="00E84F80" w:rsidRDefault="006F6197" w:rsidP="006F6197">
      <w:pPr>
        <w:pStyle w:val="ConsPlusTitle"/>
        <w:jc w:val="center"/>
        <w:rPr>
          <w:b w:val="0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5"/>
        <w:gridCol w:w="520"/>
        <w:gridCol w:w="6345"/>
        <w:gridCol w:w="5887"/>
      </w:tblGrid>
      <w:tr w:rsidR="006F6197" w:rsidRPr="00E84F80" w:rsidTr="00A0676F">
        <w:trPr>
          <w:trHeight w:val="381"/>
          <w:tblHeader/>
        </w:trPr>
        <w:tc>
          <w:tcPr>
            <w:tcW w:w="2005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 xml:space="preserve">Блок 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bCs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bCs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bCs/>
                <w:color w:val="000000"/>
                <w:sz w:val="26"/>
                <w:szCs w:val="26"/>
                <w:lang w:eastAsia="ru-RU"/>
              </w:rPr>
              <w:t>Целевое значение показателя, критерии оценки</w:t>
            </w:r>
          </w:p>
        </w:tc>
      </w:tr>
      <w:tr w:rsidR="006F6197" w:rsidRPr="00E84F80" w:rsidTr="00A0676F">
        <w:trPr>
          <w:trHeight w:val="698"/>
        </w:trPr>
        <w:tc>
          <w:tcPr>
            <w:tcW w:w="2005" w:type="dxa"/>
            <w:vMerge w:val="restart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Блок 1. Управление потоками пациентов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Количество пересечений потоков при проведении диспансеризации, профилактических медицинских осмотров с иными потоками пациентов в поликлинике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pStyle w:val="1"/>
            </w:pPr>
            <w:r w:rsidRPr="00E84F80">
              <w:t>Не более 3 пересечений</w:t>
            </w:r>
          </w:p>
        </w:tc>
      </w:tr>
      <w:tr w:rsidR="006F6197" w:rsidRPr="00E84F80" w:rsidTr="00A0676F">
        <w:trPr>
          <w:trHeight w:val="1633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Количество пересечений потоков пациентов при предоставлении платных медицинских услуг и медицинской помощи в рамках территориальной программы государственных гарантий на соответствующий календарный год и плановый период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Не более 1 пересечения</w:t>
            </w:r>
          </w:p>
        </w:tc>
      </w:tr>
      <w:tr w:rsidR="006F6197" w:rsidRPr="00E84F80" w:rsidTr="00A0676F">
        <w:trPr>
          <w:trHeight w:val="539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Последовательность действий пациента в потоке процесса оказания ему медицинской помощи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090874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В</w:t>
            </w:r>
            <w:r w:rsidR="006F6197"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озврат</w:t>
            </w:r>
            <w:r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а</w:t>
            </w:r>
            <w:r w:rsidR="006F6197"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 xml:space="preserve"> по потоку</w:t>
            </w:r>
            <w:r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 xml:space="preserve"> нет</w:t>
            </w:r>
          </w:p>
        </w:tc>
      </w:tr>
      <w:tr w:rsidR="006F6197" w:rsidRPr="00E84F80" w:rsidTr="004A4813">
        <w:trPr>
          <w:trHeight w:val="938"/>
        </w:trPr>
        <w:tc>
          <w:tcPr>
            <w:tcW w:w="2005" w:type="dxa"/>
            <w:vMerge w:val="restart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Блок 2. Качество пространства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Количество мест в зоне (зонах) комфортного ожидания для пациентов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Не менее 1 места в зоне (1 посадочное место для размещения 1 посетителя), на 200 посещений плановой мощности</w:t>
            </w:r>
          </w:p>
        </w:tc>
      </w:tr>
      <w:tr w:rsidR="006F6197" w:rsidRPr="00E84F80" w:rsidTr="004A4813">
        <w:trPr>
          <w:trHeight w:val="1280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Организация системы навигации в медицинской организации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Поиск необходимой информации об объекте (кабинете, отделении, подразделении и пр.), в том числе в точке ветвления маршрута, занимает не более 30 секунд</w:t>
            </w:r>
          </w:p>
        </w:tc>
      </w:tr>
      <w:tr w:rsidR="006F6197" w:rsidRPr="00E84F80" w:rsidTr="004A4813">
        <w:trPr>
          <w:trHeight w:val="970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Организация рабочих мест по системе 5С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Реализованы 3 и более шага в организации и поддержании порядка на рабочих местах по системе 5С для всех рабочих мест</w:t>
            </w:r>
          </w:p>
        </w:tc>
      </w:tr>
      <w:tr w:rsidR="006F6197" w:rsidRPr="00E84F80" w:rsidTr="004A4813">
        <w:trPr>
          <w:trHeight w:val="1126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Организация системы информирования в медицинской организации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Наличие 100% элементов информации от их общего объема, указанного в Контрольном листе оценки системы информирования в медицинской организации</w:t>
            </w:r>
          </w:p>
        </w:tc>
      </w:tr>
      <w:tr w:rsidR="006F6197" w:rsidRPr="00E84F80" w:rsidTr="004A4813">
        <w:trPr>
          <w:trHeight w:val="1186"/>
        </w:trPr>
        <w:tc>
          <w:tcPr>
            <w:tcW w:w="2005" w:type="dxa"/>
            <w:vMerge w:val="restart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Блок 3. Управление запасами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Процесс снабжения лекарственными средствами, изделиями медицинского назначения и прочими материалами от склада поставщика до медицинской организации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 xml:space="preserve">Уровень запасов на складе медицинской организации не превышает четверти объема годовой закупки </w:t>
            </w:r>
          </w:p>
        </w:tc>
      </w:tr>
      <w:tr w:rsidR="006F6197" w:rsidRPr="00E84F80" w:rsidTr="004A4813">
        <w:trPr>
          <w:trHeight w:val="1827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Процесс снабжения лекарственными средствами, изделиями медицинского назначения и прочими материалами и их расходования в медицинской организации осуществляется по принципу «точно вовремя»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Уровень запасов не превышает недельную норму расходования (для кабинетов врачебного приема, процедурных, перевязочных, кабинетов забора биоматериала). За исключением определенного перечня лекарственных средств, требующих специальных условий учета и хранения</w:t>
            </w:r>
          </w:p>
        </w:tc>
      </w:tr>
      <w:tr w:rsidR="006F6197" w:rsidRPr="00E84F80" w:rsidTr="004A4813">
        <w:trPr>
          <w:trHeight w:val="938"/>
        </w:trPr>
        <w:tc>
          <w:tcPr>
            <w:tcW w:w="2005" w:type="dxa"/>
            <w:vMerge w:val="restart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Блок 4. Стандартизация процессов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Соответствие текущей деятельности медицинской организации стандартизированной работе улучшенных процессов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100% (доля соответствия текущей деятельности разработанным стандартам улучшенных процессов)</w:t>
            </w:r>
          </w:p>
        </w:tc>
      </w:tr>
      <w:tr w:rsidR="006F6197" w:rsidRPr="00E84F80" w:rsidTr="004A4813">
        <w:trPr>
          <w:trHeight w:val="900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Пересмотр стандартов улучшенных процессов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Пересмотр стандартов улучшенных процессов не реже 1 раза в год, актуализация по мере необходимости</w:t>
            </w:r>
          </w:p>
        </w:tc>
      </w:tr>
      <w:tr w:rsidR="006F6197" w:rsidRPr="00E84F80" w:rsidTr="004A4813">
        <w:trPr>
          <w:trHeight w:val="638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Время добавления ценности на приеме пациентов врачом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Не менее 50% от общего времени приема</w:t>
            </w:r>
          </w:p>
        </w:tc>
      </w:tr>
      <w:tr w:rsidR="006F6197" w:rsidRPr="00E84F80" w:rsidTr="004A4813">
        <w:trPr>
          <w:trHeight w:val="1542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Выравнивание нагрузки между сотрудниками в процессе трудовой деятельности в одном рабочем помещении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Колебания нагрузки между сотрудниками (врач и медицинская сестра, медицинская сестра и медицинская сестра, регистратор и регистратор и т.д.), осуществляющими прием в одном рабочем помещении составляет не более 30%</w:t>
            </w:r>
          </w:p>
        </w:tc>
      </w:tr>
      <w:tr w:rsidR="006F6197" w:rsidRPr="00E84F80" w:rsidTr="004A4813">
        <w:trPr>
          <w:trHeight w:val="1846"/>
        </w:trPr>
        <w:tc>
          <w:tcPr>
            <w:tcW w:w="2005" w:type="dxa"/>
            <w:vMerge w:val="restart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Блок 5. Качество медицинской помощи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Количество штрафов/удержаний/ снятий, взысканных страховыми медицинскими организациями по результатам медико</w:t>
            </w: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softHyphen/>
            </w:r>
            <w:r w:rsidR="00F06252"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экономического контроля, экспертизы качества медицинской помощи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Планомерное снижение показателей не менее чем на 5% ежегодно по сравнению с предыдущим годом</w:t>
            </w:r>
            <w:r w:rsidR="00F06252"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Каждый показатель исчисляется количеством штрафов (удержаний, снятий) на 100 запрошенных СМО случаев оказания медицинской помощи ежемесячно </w:t>
            </w:r>
          </w:p>
        </w:tc>
      </w:tr>
      <w:tr w:rsidR="006F6197" w:rsidRPr="00E84F80" w:rsidTr="004A4813">
        <w:trPr>
          <w:trHeight w:val="1965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Сумма штрафов/удержаний/ снятий, взысканных страховыми медицинскими организациями по результатам медико</w:t>
            </w:r>
            <w:r w:rsidR="00F06252"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softHyphen/>
              <w:t>экономического контроля, экспертизы качества медицинской помощи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Планомерное снижение показателей не менее чем на 5% ежегодно по сравнению с предыдущим годом</w:t>
            </w:r>
            <w:r w:rsidR="00F06252"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Каждый показатель исчисляется суммой штрафов (удержаний, снятий) на 100 запрошенных СМО случаев оказания медицинской помощи ежемесячно</w:t>
            </w:r>
          </w:p>
        </w:tc>
      </w:tr>
      <w:tr w:rsidR="006F6197" w:rsidRPr="00E84F80" w:rsidTr="004A4813">
        <w:trPr>
          <w:trHeight w:val="1575"/>
        </w:trPr>
        <w:tc>
          <w:tcPr>
            <w:tcW w:w="2005" w:type="dxa"/>
            <w:vMerge w:val="restart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Блок 6. Доступность медицинской помощи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Обеспечение амбулаторного приема плановых пациентов врачами строго по времени и по предварительной записи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F06252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Не менее 90% - доля посещений по установленному времени (допустимо отклонение, равное продолжительности одно</w:t>
            </w:r>
            <w:r w:rsidR="00F06252"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го приема согласно расписанию);</w:t>
            </w:r>
          </w:p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Не менее 90 % - доля посещений по предварительной записи</w:t>
            </w:r>
          </w:p>
        </w:tc>
      </w:tr>
      <w:tr w:rsidR="006F6197" w:rsidRPr="00E84F80" w:rsidTr="004A4813">
        <w:trPr>
          <w:trHeight w:val="630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Обеспечение удаленной записи на прием в медицинские организации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Доля записей, произведенных без посещения регистратуры, составляет не менее 50% </w:t>
            </w:r>
            <w:r w:rsidR="00090874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(по телефону)</w:t>
            </w:r>
          </w:p>
        </w:tc>
      </w:tr>
      <w:tr w:rsidR="006F6197" w:rsidRPr="00E84F80" w:rsidTr="004A4813">
        <w:trPr>
          <w:trHeight w:val="945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профилактического осмотра и (или) первого этапа диспансеризации взрослого населения за минимальное количество посещений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090874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Не более 2 (двух</w:t>
            </w:r>
            <w:r w:rsidR="006F6197"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) посещений </w:t>
            </w:r>
          </w:p>
        </w:tc>
      </w:tr>
      <w:tr w:rsidR="006F6197" w:rsidRPr="00E84F80" w:rsidTr="004A4813">
        <w:trPr>
          <w:trHeight w:val="945"/>
        </w:trPr>
        <w:tc>
          <w:tcPr>
            <w:tcW w:w="2005" w:type="dxa"/>
            <w:vMerge w:val="restart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Блок 7. Вовлеченность персонала в улучшения процессов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Вовлеченность руководителей медицинских организаций и их заместителей во внедрение бережливых технологий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Не менее 1 проекта по улучшению в год у руководителя медицинской организации и его заместителей</w:t>
            </w:r>
          </w:p>
        </w:tc>
      </w:tr>
      <w:tr w:rsidR="006F6197" w:rsidRPr="00E84F80" w:rsidTr="004A4813">
        <w:trPr>
          <w:trHeight w:val="973"/>
        </w:trPr>
        <w:tc>
          <w:tcPr>
            <w:tcW w:w="2005" w:type="dxa"/>
            <w:vMerge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Работа системы подачи и реализации предложений по улучшению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Доля реализованных улучшений от принятых предложений составляет не менее 30%, с увеличением на 5% ежегодно</w:t>
            </w:r>
          </w:p>
        </w:tc>
      </w:tr>
      <w:tr w:rsidR="006F6197" w:rsidRPr="00E84F80" w:rsidTr="004A4813">
        <w:trPr>
          <w:trHeight w:val="1127"/>
        </w:trPr>
        <w:tc>
          <w:tcPr>
            <w:tcW w:w="200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Блок 8. Формирование системы управления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Визуальное управление процессами  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Не менее 5 процессов (в соответствии с блоками системы SQDCM) управляются через инфо</w:t>
            </w:r>
            <w:r w:rsidR="00A0676F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рмационный </w:t>
            </w: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центр  </w:t>
            </w:r>
          </w:p>
        </w:tc>
      </w:tr>
      <w:tr w:rsidR="006F6197" w:rsidRPr="00E84F80" w:rsidTr="00A0676F">
        <w:trPr>
          <w:trHeight w:val="1360"/>
        </w:trPr>
        <w:tc>
          <w:tcPr>
            <w:tcW w:w="200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Arial"/>
                <w:color w:val="000000"/>
                <w:sz w:val="26"/>
                <w:szCs w:val="26"/>
                <w:lang w:eastAsia="ru-RU"/>
              </w:rPr>
              <w:t>Блок 9. Эффективность использования оборудования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F6197" w:rsidRPr="00E84F80" w:rsidRDefault="006F6197" w:rsidP="006F61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Производ</w:t>
            </w:r>
            <w:r w:rsidR="00F06252"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ственная нагрузка оборудования</w:t>
            </w: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887" w:type="dxa"/>
            <w:shd w:val="clear" w:color="auto" w:fill="auto"/>
            <w:vAlign w:val="center"/>
            <w:hideMark/>
          </w:tcPr>
          <w:p w:rsidR="006F6197" w:rsidRPr="00E84F80" w:rsidRDefault="006F6197" w:rsidP="00A0676F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E84F80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Коэффициент: не менее 80% в отношении оборудования, используемого в диагностических целях, кроме оборудования КДЛ </w:t>
            </w:r>
          </w:p>
        </w:tc>
      </w:tr>
    </w:tbl>
    <w:p w:rsidR="00270D58" w:rsidRPr="00E84F80" w:rsidRDefault="00270D58" w:rsidP="004A4813">
      <w:pPr>
        <w:pStyle w:val="a7"/>
        <w:jc w:val="both"/>
        <w:rPr>
          <w:b/>
          <w:sz w:val="28"/>
          <w:szCs w:val="28"/>
        </w:rPr>
      </w:pPr>
    </w:p>
    <w:sectPr w:rsidR="00270D58" w:rsidRPr="00E84F80" w:rsidSect="00282B86">
      <w:headerReference w:type="default" r:id="rId7"/>
      <w:pgSz w:w="16838" w:h="11906" w:orient="landscape"/>
      <w:pgMar w:top="567" w:right="1134" w:bottom="1418" w:left="1134" w:header="709" w:footer="709" w:gutter="0"/>
      <w:pgNumType w:start="1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BB3" w:rsidRDefault="00994BB3" w:rsidP="00B1316A">
      <w:pPr>
        <w:spacing w:after="0" w:line="240" w:lineRule="auto"/>
      </w:pPr>
      <w:r>
        <w:separator/>
      </w:r>
    </w:p>
  </w:endnote>
  <w:endnote w:type="continuationSeparator" w:id="0">
    <w:p w:rsidR="00994BB3" w:rsidRDefault="00994BB3" w:rsidP="00B13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BB3" w:rsidRDefault="00994BB3" w:rsidP="00B1316A">
      <w:pPr>
        <w:spacing w:after="0" w:line="240" w:lineRule="auto"/>
      </w:pPr>
      <w:r>
        <w:separator/>
      </w:r>
    </w:p>
  </w:footnote>
  <w:footnote w:type="continuationSeparator" w:id="0">
    <w:p w:rsidR="00994BB3" w:rsidRDefault="00994BB3" w:rsidP="00B13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972471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341A5" w:rsidRPr="00C111F0" w:rsidRDefault="00E341A5">
        <w:pPr>
          <w:pStyle w:val="a3"/>
          <w:jc w:val="center"/>
          <w:rPr>
            <w:sz w:val="20"/>
            <w:szCs w:val="20"/>
          </w:rPr>
        </w:pPr>
        <w:r w:rsidRPr="00C111F0">
          <w:rPr>
            <w:sz w:val="20"/>
            <w:szCs w:val="20"/>
          </w:rPr>
          <w:fldChar w:fldCharType="begin"/>
        </w:r>
        <w:r w:rsidRPr="00C111F0">
          <w:rPr>
            <w:sz w:val="20"/>
            <w:szCs w:val="20"/>
          </w:rPr>
          <w:instrText>PAGE   \* MERGEFORMAT</w:instrText>
        </w:r>
        <w:r w:rsidRPr="00C111F0">
          <w:rPr>
            <w:sz w:val="20"/>
            <w:szCs w:val="20"/>
          </w:rPr>
          <w:fldChar w:fldCharType="separate"/>
        </w:r>
        <w:r w:rsidR="00454051">
          <w:rPr>
            <w:noProof/>
            <w:sz w:val="20"/>
            <w:szCs w:val="20"/>
          </w:rPr>
          <w:t>125</w:t>
        </w:r>
        <w:r w:rsidRPr="00C111F0">
          <w:rPr>
            <w:sz w:val="20"/>
            <w:szCs w:val="20"/>
          </w:rPr>
          <w:fldChar w:fldCharType="end"/>
        </w:r>
      </w:p>
    </w:sdtContent>
  </w:sdt>
  <w:p w:rsidR="00B1316A" w:rsidRDefault="00B131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D58"/>
    <w:rsid w:val="00015642"/>
    <w:rsid w:val="00031E79"/>
    <w:rsid w:val="000619A3"/>
    <w:rsid w:val="00090874"/>
    <w:rsid w:val="00094126"/>
    <w:rsid w:val="00111F37"/>
    <w:rsid w:val="00130D7E"/>
    <w:rsid w:val="001418A8"/>
    <w:rsid w:val="0017441D"/>
    <w:rsid w:val="00195366"/>
    <w:rsid w:val="001C4CEB"/>
    <w:rsid w:val="001E2E24"/>
    <w:rsid w:val="002135FF"/>
    <w:rsid w:val="0022521E"/>
    <w:rsid w:val="002478E3"/>
    <w:rsid w:val="00270D58"/>
    <w:rsid w:val="00282B86"/>
    <w:rsid w:val="002929A3"/>
    <w:rsid w:val="002957FA"/>
    <w:rsid w:val="002C5AED"/>
    <w:rsid w:val="00316A9B"/>
    <w:rsid w:val="00366D4B"/>
    <w:rsid w:val="003943CE"/>
    <w:rsid w:val="003C0F91"/>
    <w:rsid w:val="0044616D"/>
    <w:rsid w:val="00454051"/>
    <w:rsid w:val="0046283C"/>
    <w:rsid w:val="00492174"/>
    <w:rsid w:val="004A4813"/>
    <w:rsid w:val="004B149C"/>
    <w:rsid w:val="004D0A39"/>
    <w:rsid w:val="004E4ABB"/>
    <w:rsid w:val="00501F11"/>
    <w:rsid w:val="005150EA"/>
    <w:rsid w:val="00543D02"/>
    <w:rsid w:val="00566953"/>
    <w:rsid w:val="005B5A76"/>
    <w:rsid w:val="005C29E7"/>
    <w:rsid w:val="005C3785"/>
    <w:rsid w:val="00600F5C"/>
    <w:rsid w:val="0067184D"/>
    <w:rsid w:val="006844AA"/>
    <w:rsid w:val="006A5A6B"/>
    <w:rsid w:val="006B18FA"/>
    <w:rsid w:val="006C59EB"/>
    <w:rsid w:val="006F4558"/>
    <w:rsid w:val="006F6197"/>
    <w:rsid w:val="00730498"/>
    <w:rsid w:val="00741B82"/>
    <w:rsid w:val="007434CE"/>
    <w:rsid w:val="007636D7"/>
    <w:rsid w:val="007D44BF"/>
    <w:rsid w:val="007D5EBC"/>
    <w:rsid w:val="0080198E"/>
    <w:rsid w:val="008075F3"/>
    <w:rsid w:val="0085324A"/>
    <w:rsid w:val="00875E83"/>
    <w:rsid w:val="00891782"/>
    <w:rsid w:val="008E53B5"/>
    <w:rsid w:val="00903095"/>
    <w:rsid w:val="00915E14"/>
    <w:rsid w:val="009231B1"/>
    <w:rsid w:val="009756B6"/>
    <w:rsid w:val="00994BB3"/>
    <w:rsid w:val="009A7E44"/>
    <w:rsid w:val="00A0676F"/>
    <w:rsid w:val="00A149BD"/>
    <w:rsid w:val="00AB56D7"/>
    <w:rsid w:val="00B1316A"/>
    <w:rsid w:val="00B53FC3"/>
    <w:rsid w:val="00C044D3"/>
    <w:rsid w:val="00C111F0"/>
    <w:rsid w:val="00C15433"/>
    <w:rsid w:val="00C449D7"/>
    <w:rsid w:val="00C642CE"/>
    <w:rsid w:val="00C90773"/>
    <w:rsid w:val="00CA565C"/>
    <w:rsid w:val="00CC307E"/>
    <w:rsid w:val="00CC6E56"/>
    <w:rsid w:val="00CF5F32"/>
    <w:rsid w:val="00D0537A"/>
    <w:rsid w:val="00D4684D"/>
    <w:rsid w:val="00D82E41"/>
    <w:rsid w:val="00D900C5"/>
    <w:rsid w:val="00DB110F"/>
    <w:rsid w:val="00DB7E8C"/>
    <w:rsid w:val="00E341A5"/>
    <w:rsid w:val="00E467C2"/>
    <w:rsid w:val="00E84F80"/>
    <w:rsid w:val="00E9032C"/>
    <w:rsid w:val="00ED79E1"/>
    <w:rsid w:val="00F06252"/>
    <w:rsid w:val="00F46302"/>
    <w:rsid w:val="00F57C36"/>
    <w:rsid w:val="00F95261"/>
    <w:rsid w:val="00FC5B35"/>
    <w:rsid w:val="00FD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13B3A"/>
  <w15:docId w15:val="{4AD218EF-9DE4-4501-B1C3-274647EA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676F"/>
    <w:pPr>
      <w:keepNext/>
      <w:spacing w:after="0" w:line="240" w:lineRule="auto"/>
      <w:outlineLvl w:val="0"/>
    </w:pPr>
    <w:rPr>
      <w:rFonts w:eastAsia="Times New Roman" w:cs="Arial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0D58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3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316A"/>
  </w:style>
  <w:style w:type="paragraph" w:styleId="a5">
    <w:name w:val="footer"/>
    <w:basedOn w:val="a"/>
    <w:link w:val="a6"/>
    <w:uiPriority w:val="99"/>
    <w:unhideWhenUsed/>
    <w:rsid w:val="00B13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316A"/>
  </w:style>
  <w:style w:type="paragraph" w:styleId="a7">
    <w:name w:val="No Spacing"/>
    <w:uiPriority w:val="1"/>
    <w:qFormat/>
    <w:rsid w:val="0090309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F4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5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F6197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676F"/>
    <w:rPr>
      <w:rFonts w:eastAsia="Times New Roman" w:cs="Arial"/>
      <w:color w:val="00000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7D8CF-7C63-42BE-844E-996A5719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Спицина Людмила Владимировна</dc:creator>
  <cp:lastModifiedBy>Зиновьева Елизавета Андреевна</cp:lastModifiedBy>
  <cp:revision>30</cp:revision>
  <cp:lastPrinted>2022-01-25T03:30:00Z</cp:lastPrinted>
  <dcterms:created xsi:type="dcterms:W3CDTF">2019-12-27T07:21:00Z</dcterms:created>
  <dcterms:modified xsi:type="dcterms:W3CDTF">2023-10-04T10:40:00Z</dcterms:modified>
</cp:coreProperties>
</file>